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6E" w:rsidRPr="00CE5012" w:rsidRDefault="00A934EE" w:rsidP="007F7579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國立體育大學</w:t>
      </w:r>
      <w:r w:rsidR="0080706E" w:rsidRPr="00CE5012">
        <w:rPr>
          <w:rFonts w:ascii="Times New Roman" w:eastAsia="標楷體" w:hAnsi="Times New Roman" w:cs="Times New Roman"/>
          <w:b/>
          <w:sz w:val="32"/>
          <w:szCs w:val="32"/>
        </w:rPr>
        <w:t>推動業務委託民間辦理成效評核表</w:t>
      </w: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8"/>
        <w:gridCol w:w="2250"/>
        <w:gridCol w:w="3493"/>
        <w:gridCol w:w="2533"/>
        <w:gridCol w:w="834"/>
      </w:tblGrid>
      <w:tr w:rsidR="007F28A0" w:rsidRPr="00CE5012" w:rsidTr="007F7579">
        <w:trPr>
          <w:trHeight w:val="615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06E" w:rsidRPr="00CE5012" w:rsidRDefault="00A934E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名稱：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填表日期：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80706E"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7F28A0" w:rsidRPr="00CE5012" w:rsidTr="004D03FD">
        <w:trPr>
          <w:trHeight w:val="608"/>
        </w:trPr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80706E" w:rsidRPr="00CE5012" w:rsidRDefault="0080706E" w:rsidP="00FE005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1171" w:type="pct"/>
            <w:tcBorders>
              <w:top w:val="single" w:sz="12" w:space="0" w:color="auto"/>
            </w:tcBorders>
            <w:vAlign w:val="center"/>
          </w:tcPr>
          <w:p w:rsidR="0080706E" w:rsidRPr="00CE5012" w:rsidRDefault="0080706E" w:rsidP="00FE0053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評核項目</w:t>
            </w:r>
          </w:p>
          <w:p w:rsidR="0080706E" w:rsidRPr="00CE5012" w:rsidRDefault="0080706E" w:rsidP="00FE0053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（配分標準）</w:t>
            </w:r>
          </w:p>
        </w:tc>
        <w:tc>
          <w:tcPr>
            <w:tcW w:w="1818" w:type="pct"/>
            <w:tcBorders>
              <w:top w:val="single" w:sz="12" w:space="0" w:color="auto"/>
            </w:tcBorders>
            <w:vAlign w:val="center"/>
          </w:tcPr>
          <w:p w:rsidR="0080706E" w:rsidRPr="00CE5012" w:rsidRDefault="0080706E" w:rsidP="00FE0053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評核指標</w:t>
            </w:r>
          </w:p>
        </w:tc>
        <w:tc>
          <w:tcPr>
            <w:tcW w:w="1318" w:type="pct"/>
            <w:tcBorders>
              <w:top w:val="single" w:sz="12" w:space="0" w:color="auto"/>
            </w:tcBorders>
            <w:vAlign w:val="center"/>
          </w:tcPr>
          <w:p w:rsidR="0080706E" w:rsidRPr="00CE5012" w:rsidRDefault="0080706E" w:rsidP="00FE0053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執行成效列述</w:t>
            </w:r>
          </w:p>
          <w:p w:rsidR="0080706E" w:rsidRPr="00CE5012" w:rsidRDefault="0080706E" w:rsidP="00FE0053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5012">
              <w:rPr>
                <w:rFonts w:ascii="Times New Roman" w:eastAsia="標楷體" w:hAnsi="Times New Roman" w:cs="Times New Roman"/>
                <w:b/>
              </w:rPr>
              <w:t>（自評</w:t>
            </w:r>
            <w:r w:rsidRPr="00CE5012">
              <w:rPr>
                <w:rFonts w:ascii="Times New Roman" w:eastAsia="標楷體" w:hAnsi="Times New Roman" w:cs="Times New Roman"/>
                <w:b/>
              </w:rPr>
              <w:t>-</w:t>
            </w:r>
            <w:r w:rsidRPr="00CE5012">
              <w:rPr>
                <w:rFonts w:ascii="Times New Roman" w:eastAsia="標楷體" w:hAnsi="Times New Roman" w:cs="Times New Roman"/>
                <w:b/>
              </w:rPr>
              <w:t>文字敘述）</w:t>
            </w:r>
          </w:p>
        </w:tc>
        <w:tc>
          <w:tcPr>
            <w:tcW w:w="434" w:type="pct"/>
            <w:tcBorders>
              <w:top w:val="single" w:sz="12" w:space="0" w:color="auto"/>
            </w:tcBorders>
            <w:vAlign w:val="center"/>
          </w:tcPr>
          <w:p w:rsidR="0080706E" w:rsidRPr="00CE5012" w:rsidRDefault="0080706E" w:rsidP="00FE0053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自評分數</w:t>
            </w:r>
          </w:p>
        </w:tc>
      </w:tr>
      <w:tr w:rsidR="007F28A0" w:rsidRPr="00CE5012" w:rsidTr="004D03FD">
        <w:trPr>
          <w:trHeight w:val="935"/>
        </w:trPr>
        <w:tc>
          <w:tcPr>
            <w:tcW w:w="259" w:type="pct"/>
            <w:vMerge w:val="restar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 w:val="restar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通盤檢討機關（構）學校整體業務，對於未涉政策決定或公權力業務，其性質屬公共服務或執行業務，適合委託民間辦理者之委外規劃情形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15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1</w:t>
            </w:r>
            <w:r w:rsidRPr="00CE5012">
              <w:rPr>
                <w:rFonts w:ascii="Times New Roman" w:eastAsia="標楷體" w:hAnsi="Times New Roman" w:cs="Times New Roman"/>
              </w:rPr>
              <w:t>、有無定期通盤檢討現有業務委外之可行性（</w:t>
            </w:r>
            <w:r w:rsidRPr="00CE5012">
              <w:rPr>
                <w:rFonts w:ascii="Times New Roman" w:eastAsia="標楷體" w:hAnsi="Times New Roman" w:cs="Times New Roman"/>
              </w:rPr>
              <w:t>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28A0" w:rsidRPr="00CE5012" w:rsidTr="004D03FD">
        <w:trPr>
          <w:trHeight w:val="807"/>
        </w:trPr>
        <w:tc>
          <w:tcPr>
            <w:tcW w:w="259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、有無建立委外提案之機制。（</w:t>
            </w:r>
            <w:r w:rsidRPr="00CE5012">
              <w:rPr>
                <w:rFonts w:ascii="Times New Roman" w:eastAsia="標楷體" w:hAnsi="Times New Roman" w:cs="Times New Roman"/>
              </w:rPr>
              <w:t>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F28A0" w:rsidRPr="00CE5012" w:rsidTr="004D03FD">
        <w:trPr>
          <w:trHeight w:val="693"/>
        </w:trPr>
        <w:tc>
          <w:tcPr>
            <w:tcW w:w="259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、有無應委外而正規劃辦理事項。（</w:t>
            </w:r>
            <w:r w:rsidRPr="00CE5012">
              <w:rPr>
                <w:rFonts w:ascii="Times New Roman" w:eastAsia="標楷體" w:hAnsi="Times New Roman" w:cs="Times New Roman"/>
              </w:rPr>
              <w:t>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4" w:type="pct"/>
            <w:tcBorders>
              <w:top w:val="single" w:sz="12" w:space="0" w:color="auto"/>
            </w:tcBorders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F28A0" w:rsidRPr="00CE5012" w:rsidTr="004D03FD">
        <w:trPr>
          <w:trHeight w:val="415"/>
        </w:trPr>
        <w:tc>
          <w:tcPr>
            <w:tcW w:w="259" w:type="pct"/>
            <w:vMerge w:val="restar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171" w:type="pct"/>
            <w:vMerge w:val="restart"/>
          </w:tcPr>
          <w:p w:rsidR="0080706E" w:rsidRPr="00CE5012" w:rsidRDefault="0080706E" w:rsidP="00FE005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新增業務或人力不足部分，積極檢討規劃委外辦理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12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80706E" w:rsidRPr="00CE5012" w:rsidRDefault="0080706E" w:rsidP="00FE0053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1</w:t>
            </w:r>
            <w:r w:rsidRPr="00CE5012">
              <w:rPr>
                <w:rFonts w:ascii="Times New Roman" w:eastAsia="標楷體" w:hAnsi="Times New Roman" w:cs="Times New Roman"/>
              </w:rPr>
              <w:t>、有無就新增業務檢討委外之可行性。（</w:t>
            </w:r>
            <w:r w:rsidRPr="00CE5012">
              <w:rPr>
                <w:rFonts w:ascii="Times New Roman" w:eastAsia="標楷體" w:hAnsi="Times New Roman" w:cs="Times New Roman"/>
              </w:rPr>
              <w:t>4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28A0" w:rsidRPr="00CE5012" w:rsidTr="004D03FD">
        <w:trPr>
          <w:trHeight w:val="415"/>
        </w:trPr>
        <w:tc>
          <w:tcPr>
            <w:tcW w:w="259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80706E" w:rsidRPr="00CE5012" w:rsidRDefault="0080706E" w:rsidP="00FE0053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、有無因人力不足檢討業務委外之可行性。（</w:t>
            </w:r>
            <w:r w:rsidRPr="00CE5012">
              <w:rPr>
                <w:rFonts w:ascii="Times New Roman" w:eastAsia="標楷體" w:hAnsi="Times New Roman" w:cs="Times New Roman"/>
              </w:rPr>
              <w:t>4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28A0" w:rsidRPr="00CE5012" w:rsidTr="004D03FD">
        <w:trPr>
          <w:trHeight w:val="415"/>
        </w:trPr>
        <w:tc>
          <w:tcPr>
            <w:tcW w:w="259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80706E" w:rsidRPr="00CE5012" w:rsidRDefault="0080706E" w:rsidP="00FE005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80706E" w:rsidRPr="00CE5012" w:rsidRDefault="0080706E" w:rsidP="00FE0053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、有無其他特殊創新委外績效。（</w:t>
            </w:r>
            <w:r w:rsidRPr="00CE5012">
              <w:rPr>
                <w:rFonts w:ascii="Times New Roman" w:eastAsia="標楷體" w:hAnsi="Times New Roman" w:cs="Times New Roman"/>
              </w:rPr>
              <w:t>4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28A0" w:rsidRPr="00CE5012" w:rsidTr="004D03FD">
        <w:trPr>
          <w:trHeight w:val="159"/>
        </w:trPr>
        <w:tc>
          <w:tcPr>
            <w:tcW w:w="259" w:type="pct"/>
            <w:vMerge w:val="restar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171" w:type="pct"/>
            <w:vMerge w:val="restart"/>
          </w:tcPr>
          <w:p w:rsidR="0080706E" w:rsidRPr="00CE5012" w:rsidRDefault="0080706E" w:rsidP="00FE0053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依「行政院所屬各機關推動業務委託民間辦理實施要點」成立委外專案小組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8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80706E" w:rsidRPr="00CE5012" w:rsidRDefault="0080706E" w:rsidP="00FE0053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1</w:t>
            </w:r>
            <w:r w:rsidRPr="00CE5012">
              <w:rPr>
                <w:rFonts w:ascii="Times New Roman" w:eastAsia="標楷體" w:hAnsi="Times New Roman" w:cs="Times New Roman"/>
              </w:rPr>
              <w:t>、有無依規定成立專案小組。（</w:t>
            </w: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80706E" w:rsidRPr="00CE5012" w:rsidRDefault="00A934E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由人事室填列</w:t>
            </w:r>
          </w:p>
        </w:tc>
        <w:tc>
          <w:tcPr>
            <w:tcW w:w="434" w:type="pct"/>
          </w:tcPr>
          <w:p w:rsidR="0080706E" w:rsidRPr="00CE5012" w:rsidRDefault="0080706E" w:rsidP="00FE0053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157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、有無定期或不定期召開專案小組會議。（</w:t>
            </w: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由人事室填列</w:t>
            </w: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157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  <w:szCs w:val="32"/>
              </w:rPr>
              <w:t>3</w:t>
            </w:r>
            <w:r w:rsidRPr="00CE5012">
              <w:rPr>
                <w:rFonts w:ascii="Times New Roman" w:eastAsia="標楷體" w:hAnsi="Times New Roman" w:cs="Times New Roman"/>
                <w:szCs w:val="32"/>
              </w:rPr>
              <w:t>、</w:t>
            </w:r>
            <w:r w:rsidRPr="00CE5012">
              <w:rPr>
                <w:rFonts w:ascii="Times New Roman" w:eastAsia="標楷體" w:hAnsi="Times New Roman" w:cs="Times New Roman"/>
              </w:rPr>
              <w:t>有無</w:t>
            </w:r>
            <w:r w:rsidRPr="00CE5012">
              <w:rPr>
                <w:rFonts w:ascii="Times New Roman" w:eastAsia="標楷體" w:hAnsi="Times New Roman" w:cs="Times New Roman"/>
                <w:szCs w:val="32"/>
              </w:rPr>
              <w:t>訂定標準化委外作業規範及流程。</w:t>
            </w:r>
            <w:r w:rsidRPr="00CE5012">
              <w:rPr>
                <w:rFonts w:ascii="Times New Roman" w:eastAsia="標楷體" w:hAnsi="Times New Roman" w:cs="Times New Roman"/>
              </w:rPr>
              <w:t>（</w:t>
            </w: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由人事室填列</w:t>
            </w: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157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360" w:hangingChars="150" w:hanging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</w:rPr>
              <w:t>4</w:t>
            </w:r>
            <w:r w:rsidRPr="00CE5012">
              <w:rPr>
                <w:rFonts w:ascii="Times New Roman" w:eastAsia="標楷體" w:hAnsi="Times New Roman" w:cs="Times New Roman"/>
              </w:rPr>
              <w:t>、</w:t>
            </w:r>
            <w:r w:rsidRPr="00CE5012">
              <w:rPr>
                <w:rFonts w:ascii="Times New Roman" w:eastAsia="標楷體" w:hAnsi="Times New Roman" w:cs="Times New Roman"/>
                <w:szCs w:val="32"/>
              </w:rPr>
              <w:t>面臨委外困難時</w:t>
            </w:r>
            <w:r w:rsidRPr="00CE5012">
              <w:rPr>
                <w:rFonts w:ascii="Times New Roman" w:eastAsia="標楷體" w:hAnsi="Times New Roman" w:cs="Times New Roman"/>
              </w:rPr>
              <w:t>，有無提專案小組研議解決方案。（</w:t>
            </w: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c>
          <w:tcPr>
            <w:tcW w:w="259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171" w:type="pct"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委外業務承辦人員已參加相關教育研習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5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委外業務承辦人，曾否參加相關教育研習課程。（</w:t>
            </w:r>
            <w:r w:rsidRPr="00CE5012">
              <w:rPr>
                <w:rFonts w:ascii="Times New Roman" w:eastAsia="標楷體" w:hAnsi="Times New Roman" w:cs="Times New Roman"/>
              </w:rPr>
              <w:t>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2"/>
        </w:trPr>
        <w:tc>
          <w:tcPr>
            <w:tcW w:w="259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171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詳細規範投標廠商資格條件，並依規定完成招標作業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12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1</w:t>
            </w:r>
            <w:r w:rsidRPr="00CE5012">
              <w:rPr>
                <w:rFonts w:ascii="Times New Roman" w:eastAsia="標楷體" w:hAnsi="Times New Roman" w:cs="Times New Roman"/>
              </w:rPr>
              <w:t>、機關有無提供詳細投標資訊。（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1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、委託案件公開招標時，有無對參與廠商應具備之資格條件做明確之規範。（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1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、有無依規定成立評選委員會辦理評選作業。（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1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</w:rPr>
              <w:t>4</w:t>
            </w:r>
            <w:r w:rsidRPr="00CE5012">
              <w:rPr>
                <w:rFonts w:ascii="Times New Roman" w:eastAsia="標楷體" w:hAnsi="Times New Roman" w:cs="Times New Roman"/>
              </w:rPr>
              <w:t>、有無對委外招標失敗之業務作檢討。（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0"/>
        </w:trPr>
        <w:tc>
          <w:tcPr>
            <w:tcW w:w="259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1171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委外契約中，明確規定廠商違約之處理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9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A934EE" w:rsidRPr="00CE5012" w:rsidRDefault="00A934EE" w:rsidP="00A934EE">
            <w:pPr>
              <w:numPr>
                <w:ilvl w:val="0"/>
                <w:numId w:val="6"/>
              </w:num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有無於委外契約中明定違約之處理方式（例如：計點、罰金、歇業、停業、合約結束等）。（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0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numPr>
                <w:ilvl w:val="0"/>
                <w:numId w:val="6"/>
              </w:num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有無依契約規定執行違約之處理。（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0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numPr>
                <w:ilvl w:val="0"/>
                <w:numId w:val="6"/>
              </w:num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有無於委外契約中，明定爭議</w:t>
            </w:r>
            <w:r w:rsidRPr="00CE5012">
              <w:rPr>
                <w:rFonts w:ascii="Times New Roman" w:eastAsia="標楷體" w:hAnsi="Times New Roman" w:cs="Times New Roman"/>
              </w:rPr>
              <w:t>(</w:t>
            </w:r>
            <w:r w:rsidRPr="00CE5012">
              <w:rPr>
                <w:rFonts w:ascii="Times New Roman" w:eastAsia="標楷體" w:hAnsi="Times New Roman" w:cs="Times New Roman"/>
              </w:rPr>
              <w:t>含申訴</w:t>
            </w:r>
            <w:r w:rsidRPr="00CE5012">
              <w:rPr>
                <w:rFonts w:ascii="Times New Roman" w:eastAsia="標楷體" w:hAnsi="Times New Roman" w:cs="Times New Roman"/>
              </w:rPr>
              <w:t>)</w:t>
            </w:r>
            <w:r w:rsidRPr="00CE5012">
              <w:rPr>
                <w:rFonts w:ascii="Times New Roman" w:eastAsia="標楷體" w:hAnsi="Times New Roman" w:cs="Times New Roman"/>
              </w:rPr>
              <w:t>之處理機制或作業方式。（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5"/>
        </w:trPr>
        <w:tc>
          <w:tcPr>
            <w:tcW w:w="259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1171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建立委外監督查核機制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6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A934EE" w:rsidRPr="00CE5012" w:rsidRDefault="00A934EE" w:rsidP="00A934EE">
            <w:pPr>
              <w:numPr>
                <w:ilvl w:val="0"/>
                <w:numId w:val="3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有無建立委外作業之監督查核機制。</w:t>
            </w:r>
            <w:r w:rsidRPr="00CE5012">
              <w:rPr>
                <w:rFonts w:ascii="Times New Roman" w:eastAsia="標楷體" w:hAnsi="Times New Roman" w:cs="Times New Roman"/>
              </w:rPr>
              <w:t xml:space="preserve"> </w:t>
            </w:r>
            <w:r w:rsidRPr="00CE5012">
              <w:rPr>
                <w:rFonts w:ascii="Times New Roman" w:eastAsia="標楷體" w:hAnsi="Times New Roman" w:cs="Times New Roman"/>
              </w:rPr>
              <w:t>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5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pacing w:line="320" w:lineRule="exact"/>
              <w:ind w:left="432" w:hangingChars="180" w:hanging="4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、有無落實執行監督查核作業。（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5"/>
        </w:trPr>
        <w:tc>
          <w:tcPr>
            <w:tcW w:w="259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八</w:t>
            </w:r>
          </w:p>
        </w:tc>
        <w:tc>
          <w:tcPr>
            <w:tcW w:w="1171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建立委外危機處理機制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6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A934EE" w:rsidRPr="00CE5012" w:rsidRDefault="00A934EE" w:rsidP="00A934EE">
            <w:pPr>
              <w:numPr>
                <w:ilvl w:val="0"/>
                <w:numId w:val="5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有無建立委外業務之危機管理配套措施。（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315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、對委外業務執行績效不彰者，有無提出並執行改善對策。（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210"/>
        </w:trPr>
        <w:tc>
          <w:tcPr>
            <w:tcW w:w="259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</w:p>
        </w:tc>
        <w:tc>
          <w:tcPr>
            <w:tcW w:w="1171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辦理成本效益評估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9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</w:tc>
        <w:tc>
          <w:tcPr>
            <w:tcW w:w="1818" w:type="pct"/>
          </w:tcPr>
          <w:p w:rsidR="00A934EE" w:rsidRPr="00CE5012" w:rsidRDefault="00A934EE" w:rsidP="00A934EE">
            <w:pPr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有無預先建立委外成本效益評估機制。（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210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numPr>
                <w:ilvl w:val="0"/>
                <w:numId w:val="7"/>
              </w:num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有無就委外和自行辦理事項所需成本作比較分析。（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210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、有無就委外業務之營運績效，進行具體分析。（</w:t>
            </w: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549"/>
        </w:trPr>
        <w:tc>
          <w:tcPr>
            <w:tcW w:w="259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1171" w:type="pct"/>
            <w:vMerge w:val="restart"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E5012">
              <w:rPr>
                <w:rFonts w:ascii="Times New Roman" w:eastAsia="標楷體" w:hAnsi="Times New Roman" w:cs="Times New Roman"/>
              </w:rPr>
              <w:t>執行委外業務節省之人力、經費、顧客滿意度等量化績效值。</w:t>
            </w:r>
            <w:r w:rsidRPr="00CE5012">
              <w:rPr>
                <w:rFonts w:ascii="Times New Roman" w:eastAsia="標楷體" w:hAnsi="Times New Roman" w:cs="Times New Roman"/>
                <w:b/>
              </w:rPr>
              <w:t>（</w:t>
            </w:r>
            <w:r w:rsidRPr="00CE5012">
              <w:rPr>
                <w:rFonts w:ascii="Times New Roman" w:eastAsia="標楷體" w:hAnsi="Times New Roman" w:cs="Times New Roman"/>
                <w:b/>
              </w:rPr>
              <w:t>18</w:t>
            </w:r>
            <w:r w:rsidRPr="00CE5012">
              <w:rPr>
                <w:rFonts w:ascii="Times New Roman" w:eastAsia="標楷體" w:hAnsi="Times New Roman" w:cs="Times New Roman"/>
                <w:b/>
              </w:rPr>
              <w:t>分）</w:t>
            </w:r>
          </w:p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1</w:t>
            </w:r>
            <w:r w:rsidRPr="00CE5012">
              <w:rPr>
                <w:rFonts w:ascii="Times New Roman" w:eastAsia="標楷體" w:hAnsi="Times New Roman" w:cs="Times New Roman"/>
              </w:rPr>
              <w:t>、實際節約之人力之計算方式：</w:t>
            </w:r>
          </w:p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（委外人事費</w:t>
            </w:r>
            <w:r w:rsidRPr="00CE5012">
              <w:rPr>
                <w:rFonts w:ascii="Times New Roman" w:eastAsia="標楷體" w:hAnsi="Times New Roman" w:cs="Times New Roman"/>
              </w:rPr>
              <w:t>-</w:t>
            </w:r>
            <w:r w:rsidRPr="00CE5012">
              <w:rPr>
                <w:rFonts w:ascii="Times New Roman" w:eastAsia="標楷體" w:hAnsi="Times New Roman" w:cs="Times New Roman"/>
              </w:rPr>
              <w:t>機關自行辦理負擔之人事費）</w:t>
            </w:r>
            <w:r w:rsidRPr="00CE5012">
              <w:rPr>
                <w:rFonts w:ascii="Times New Roman" w:eastAsia="標楷體" w:hAnsi="Times New Roman" w:cs="Times New Roman"/>
              </w:rPr>
              <w:t>/</w:t>
            </w:r>
            <w:r w:rsidRPr="00CE5012">
              <w:rPr>
                <w:rFonts w:ascii="Times New Roman" w:eastAsia="標楷體" w:hAnsi="Times New Roman" w:cs="Times New Roman"/>
              </w:rPr>
              <w:t>（每人每年所需之人事費）（</w:t>
            </w:r>
            <w:r w:rsidRPr="00CE5012">
              <w:rPr>
                <w:rFonts w:ascii="Times New Roman" w:eastAsia="標楷體" w:hAnsi="Times New Roman" w:cs="Times New Roman"/>
              </w:rPr>
              <w:t>4.5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547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2</w:t>
            </w:r>
            <w:r w:rsidRPr="00CE5012">
              <w:rPr>
                <w:rFonts w:ascii="Times New Roman" w:eastAsia="標楷體" w:hAnsi="Times New Roman" w:cs="Times New Roman"/>
              </w:rPr>
              <w:t>、實際節省之經費之計算方式：</w:t>
            </w:r>
          </w:p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「委外總經費</w:t>
            </w:r>
            <w:r w:rsidRPr="00CE5012">
              <w:rPr>
                <w:rFonts w:ascii="Times New Roman" w:eastAsia="標楷體" w:hAnsi="Times New Roman" w:cs="Times New Roman"/>
              </w:rPr>
              <w:t>-</w:t>
            </w:r>
            <w:r w:rsidRPr="00CE5012">
              <w:rPr>
                <w:rFonts w:ascii="Times New Roman" w:eastAsia="標楷體" w:hAnsi="Times New Roman" w:cs="Times New Roman"/>
              </w:rPr>
              <w:t>機關自行辦理負擔之經費（含人力、物力之經費）」</w:t>
            </w:r>
            <w:r w:rsidRPr="00CE5012">
              <w:rPr>
                <w:rFonts w:ascii="Times New Roman" w:eastAsia="標楷體" w:hAnsi="Times New Roman" w:cs="Times New Roman"/>
              </w:rPr>
              <w:t>/</w:t>
            </w:r>
            <w:r w:rsidRPr="00CE5012">
              <w:rPr>
                <w:rFonts w:ascii="Times New Roman" w:eastAsia="標楷體" w:hAnsi="Times New Roman" w:cs="Times New Roman"/>
              </w:rPr>
              <w:t>（機關自行辦理負擔之經費）（</w:t>
            </w:r>
            <w:r w:rsidRPr="00CE5012">
              <w:rPr>
                <w:rFonts w:ascii="Times New Roman" w:eastAsia="標楷體" w:hAnsi="Times New Roman" w:cs="Times New Roman"/>
              </w:rPr>
              <w:t>4.5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547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</w:rPr>
            </w:pPr>
            <w:r w:rsidRPr="00CE5012">
              <w:rPr>
                <w:rFonts w:ascii="Times New Roman" w:eastAsia="標楷體" w:hAnsi="Times New Roman" w:cs="Times New Roman"/>
              </w:rPr>
              <w:t>3</w:t>
            </w:r>
            <w:r w:rsidRPr="00CE5012">
              <w:rPr>
                <w:rFonts w:ascii="Times New Roman" w:eastAsia="標楷體" w:hAnsi="Times New Roman" w:cs="Times New Roman"/>
              </w:rPr>
              <w:t>、有無辦理顧客滿意度調查。（</w:t>
            </w:r>
            <w:r w:rsidRPr="00CE5012">
              <w:rPr>
                <w:rFonts w:ascii="Times New Roman" w:eastAsia="標楷體" w:hAnsi="Times New Roman" w:cs="Times New Roman"/>
              </w:rPr>
              <w:t>4.5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547"/>
        </w:trPr>
        <w:tc>
          <w:tcPr>
            <w:tcW w:w="259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Merge/>
          </w:tcPr>
          <w:p w:rsidR="00A934EE" w:rsidRPr="00CE5012" w:rsidRDefault="00A934EE" w:rsidP="00A934E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8" w:type="pct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5012">
              <w:rPr>
                <w:rFonts w:ascii="Times New Roman" w:eastAsia="標楷體" w:hAnsi="Times New Roman" w:cs="Times New Roman"/>
              </w:rPr>
              <w:t>4</w:t>
            </w:r>
            <w:r w:rsidRPr="00CE5012">
              <w:rPr>
                <w:rFonts w:ascii="Times New Roman" w:eastAsia="標楷體" w:hAnsi="Times New Roman" w:cs="Times New Roman"/>
              </w:rPr>
              <w:t>、顧客滿意度問卷調查結果，有無進行分析、應用及改善措施。（</w:t>
            </w:r>
            <w:r w:rsidRPr="00CE5012">
              <w:rPr>
                <w:rFonts w:ascii="Times New Roman" w:eastAsia="標楷體" w:hAnsi="Times New Roman" w:cs="Times New Roman"/>
              </w:rPr>
              <w:t>4.5</w:t>
            </w:r>
            <w:r w:rsidRPr="00CE5012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318" w:type="pct"/>
            <w:tcBorders>
              <w:bottom w:val="single" w:sz="6" w:space="0" w:color="auto"/>
            </w:tcBorders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4EE" w:rsidRPr="00CE5012" w:rsidTr="004D03FD">
        <w:trPr>
          <w:trHeight w:val="547"/>
        </w:trPr>
        <w:tc>
          <w:tcPr>
            <w:tcW w:w="3248" w:type="pct"/>
            <w:gridSpan w:val="3"/>
            <w:vAlign w:val="center"/>
          </w:tcPr>
          <w:p w:rsidR="00A934EE" w:rsidRPr="00CE5012" w:rsidRDefault="00A934EE" w:rsidP="00A934EE">
            <w:pPr>
              <w:snapToGrid w:val="0"/>
              <w:spacing w:line="320" w:lineRule="exact"/>
              <w:ind w:left="432" w:hangingChars="180" w:hanging="43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CE5012">
              <w:rPr>
                <w:rFonts w:ascii="Times New Roman" w:eastAsia="標楷體" w:hAnsi="Times New Roman" w:cs="Times New Roman"/>
                <w:b/>
              </w:rPr>
              <w:t>總計</w:t>
            </w:r>
          </w:p>
        </w:tc>
        <w:tc>
          <w:tcPr>
            <w:tcW w:w="1318" w:type="pct"/>
            <w:tcBorders>
              <w:top w:val="single" w:sz="6" w:space="0" w:color="auto"/>
              <w:bottom w:val="single" w:sz="12" w:space="0" w:color="auto"/>
              <w:tl2br w:val="nil"/>
            </w:tcBorders>
          </w:tcPr>
          <w:p w:rsidR="00A934EE" w:rsidRPr="00002BB3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02BB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請填列</w:t>
            </w:r>
            <w:r w:rsidRPr="00002BB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106</w:t>
            </w:r>
            <w:r w:rsidRPr="00002BB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年度委外類型及案件數：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□1.</w:t>
            </w:r>
            <w:r w:rsidRPr="004D03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整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體</w:t>
            </w:r>
            <w:r w:rsidRPr="004D03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業務委外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□2.</w:t>
            </w:r>
            <w:r w:rsidRPr="004D03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部分業務委外：</w:t>
            </w:r>
          </w:p>
          <w:p w:rsidR="00A934EE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CC58C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內部事務或服務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資訊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2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保全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3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清潔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4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公務車輛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5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文書繕打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6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總機話務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7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檔案服務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8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機電維護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9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郵務處理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件。</w:t>
            </w:r>
          </w:p>
          <w:p w:rsidR="00A934EE" w:rsidRDefault="00A934EE" w:rsidP="00A934EE">
            <w:pPr>
              <w:snapToGrid w:val="0"/>
              <w:spacing w:line="320" w:lineRule="exact"/>
              <w:ind w:left="386" w:hangingChars="193" w:hanging="386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A"/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其他（請敘明）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件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。</w:t>
            </w:r>
          </w:p>
          <w:p w:rsidR="00A934EE" w:rsidRPr="004D03FD" w:rsidRDefault="00A934EE" w:rsidP="00A934EE">
            <w:pPr>
              <w:snapToGrid w:val="0"/>
              <w:spacing w:line="320" w:lineRule="exact"/>
              <w:ind w:left="386" w:hangingChars="193" w:hanging="38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C58C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輔助行政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</w:rPr>
              <w:t>（請敘明）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件</w:t>
            </w:r>
            <w:r w:rsidRPr="004D03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。</w:t>
            </w:r>
          </w:p>
        </w:tc>
        <w:tc>
          <w:tcPr>
            <w:tcW w:w="434" w:type="pct"/>
          </w:tcPr>
          <w:p w:rsidR="00A934EE" w:rsidRPr="00CE5012" w:rsidRDefault="00A934EE" w:rsidP="00A934E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0706E" w:rsidRPr="00CE5012" w:rsidRDefault="0080706E" w:rsidP="00CE7007">
      <w:pPr>
        <w:snapToGrid w:val="0"/>
        <w:spacing w:beforeLines="50" w:before="180" w:line="240" w:lineRule="exact"/>
        <w:rPr>
          <w:rFonts w:ascii="Times New Roman" w:eastAsia="標楷體" w:hAnsi="Times New Roman" w:cs="Times New Roman"/>
          <w:b/>
        </w:rPr>
      </w:pPr>
      <w:r w:rsidRPr="00CE5012">
        <w:rPr>
          <w:rFonts w:ascii="Times New Roman" w:eastAsia="標楷體" w:hAnsi="Times New Roman" w:cs="Times New Roman"/>
          <w:b/>
        </w:rPr>
        <w:t>承辦</w:t>
      </w:r>
      <w:r w:rsidR="00A934EE">
        <w:rPr>
          <w:rFonts w:ascii="Times New Roman" w:eastAsia="標楷體" w:hAnsi="Times New Roman" w:cs="Times New Roman" w:hint="eastAsia"/>
          <w:b/>
        </w:rPr>
        <w:t>人</w:t>
      </w:r>
      <w:r w:rsidRPr="00CE5012">
        <w:rPr>
          <w:rFonts w:ascii="Times New Roman" w:eastAsia="標楷體" w:hAnsi="Times New Roman" w:cs="Times New Roman"/>
          <w:b/>
        </w:rPr>
        <w:t>核章：</w:t>
      </w:r>
      <w:r w:rsidRPr="00CE5012">
        <w:rPr>
          <w:rFonts w:ascii="Times New Roman" w:eastAsia="標楷體" w:hAnsi="Times New Roman" w:cs="Times New Roman"/>
          <w:b/>
        </w:rPr>
        <w:t xml:space="preserve">                 </w:t>
      </w:r>
      <w:r w:rsidR="00A934EE">
        <w:rPr>
          <w:rFonts w:ascii="Times New Roman" w:eastAsia="標楷體" w:hAnsi="Times New Roman" w:cs="Times New Roman" w:hint="eastAsia"/>
          <w:b/>
        </w:rPr>
        <w:t>複核</w:t>
      </w:r>
      <w:r w:rsidR="00A934EE" w:rsidRPr="00A934EE">
        <w:rPr>
          <w:rFonts w:ascii="Times New Roman" w:eastAsia="標楷體" w:hAnsi="Times New Roman" w:cs="Times New Roman"/>
          <w:b/>
        </w:rPr>
        <w:t>：</w:t>
      </w:r>
      <w:r w:rsidRPr="00CE5012">
        <w:rPr>
          <w:rFonts w:ascii="Times New Roman" w:eastAsia="標楷體" w:hAnsi="Times New Roman" w:cs="Times New Roman"/>
          <w:b/>
        </w:rPr>
        <w:t xml:space="preserve">   </w:t>
      </w:r>
      <w:r w:rsidR="00A934EE">
        <w:rPr>
          <w:rFonts w:ascii="Times New Roman" w:eastAsia="標楷體" w:hAnsi="Times New Roman" w:cs="Times New Roman" w:hint="eastAsia"/>
          <w:b/>
        </w:rPr>
        <w:t xml:space="preserve">            </w:t>
      </w:r>
      <w:r w:rsidR="00A934EE">
        <w:rPr>
          <w:rFonts w:ascii="Times New Roman" w:eastAsia="標楷體" w:hAnsi="Times New Roman" w:cs="Times New Roman" w:hint="eastAsia"/>
          <w:b/>
        </w:rPr>
        <w:t>單位主管</w:t>
      </w:r>
      <w:r w:rsidRPr="00CE5012">
        <w:rPr>
          <w:rFonts w:ascii="Times New Roman" w:eastAsia="標楷體" w:hAnsi="Times New Roman" w:cs="Times New Roman"/>
          <w:b/>
        </w:rPr>
        <w:t>核章：</w:t>
      </w:r>
    </w:p>
    <w:p w:rsidR="0080706E" w:rsidRPr="00CE5012" w:rsidRDefault="0080706E" w:rsidP="00CE7007">
      <w:pPr>
        <w:snapToGrid w:val="0"/>
        <w:spacing w:beforeLines="50" w:before="180" w:line="240" w:lineRule="exact"/>
        <w:rPr>
          <w:rFonts w:ascii="Times New Roman" w:eastAsia="標楷體" w:hAnsi="Times New Roman" w:cs="Times New Roman"/>
          <w:b/>
        </w:rPr>
      </w:pPr>
    </w:p>
    <w:p w:rsidR="006635AA" w:rsidRDefault="006635AA" w:rsidP="006635AA">
      <w:pPr>
        <w:pStyle w:val="a3"/>
        <w:numPr>
          <w:ilvl w:val="0"/>
          <w:numId w:val="4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「</w:t>
      </w:r>
      <w:r w:rsidRPr="006635AA">
        <w:rPr>
          <w:rFonts w:ascii="Times New Roman" w:eastAsia="標楷體" w:hAnsi="Times New Roman" w:cs="Times New Roman" w:hint="eastAsia"/>
          <w:b/>
        </w:rPr>
        <w:t>教育部推動業務委託民間辦理之督導考評作業要點</w:t>
      </w:r>
      <w:r>
        <w:rPr>
          <w:rFonts w:ascii="Times New Roman" w:eastAsia="標楷體" w:hAnsi="Times New Roman" w:cs="Times New Roman" w:hint="eastAsia"/>
          <w:b/>
        </w:rPr>
        <w:t>」第</w:t>
      </w:r>
      <w:r>
        <w:rPr>
          <w:rFonts w:ascii="Times New Roman" w:eastAsia="標楷體" w:hAnsi="Times New Roman" w:cs="Times New Roman" w:hint="eastAsia"/>
          <w:b/>
        </w:rPr>
        <w:t>3</w:t>
      </w:r>
      <w:r>
        <w:rPr>
          <w:rFonts w:ascii="Times New Roman" w:eastAsia="標楷體" w:hAnsi="Times New Roman" w:cs="Times New Roman" w:hint="eastAsia"/>
          <w:b/>
        </w:rPr>
        <w:t>點</w:t>
      </w:r>
    </w:p>
    <w:p w:rsidR="006635AA" w:rsidRPr="006635AA" w:rsidRDefault="006635AA" w:rsidP="006635AA">
      <w:pPr>
        <w:pStyle w:val="a3"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635AA">
        <w:rPr>
          <w:rFonts w:ascii="Times New Roman" w:eastAsia="標楷體" w:hAnsi="Times New Roman" w:cs="Times New Roman"/>
          <w:kern w:val="0"/>
          <w:szCs w:val="24"/>
        </w:rPr>
        <w:t>本部及所屬機關（構）、學校業務委託民間辦理（以下簡稱委外）之方式如下：</w:t>
      </w:r>
    </w:p>
    <w:p w:rsidR="006635AA" w:rsidRPr="006635AA" w:rsidRDefault="006635AA" w:rsidP="006635AA">
      <w:pPr>
        <w:pStyle w:val="a3"/>
        <w:numPr>
          <w:ilvl w:val="1"/>
          <w:numId w:val="9"/>
        </w:numPr>
        <w:autoSpaceDE w:val="0"/>
        <w:autoSpaceDN w:val="0"/>
        <w:adjustRightInd w:val="0"/>
        <w:ind w:leftChars="136" w:left="1177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635AA">
        <w:rPr>
          <w:rFonts w:ascii="Times New Roman" w:eastAsia="標楷體" w:hAnsi="Times New Roman" w:cs="Times New Roman"/>
          <w:kern w:val="0"/>
          <w:szCs w:val="24"/>
        </w:rPr>
        <w:t>整體業務委外：將屬公共服務或執行性質之整體業務委外，或將現有土地、建物、設施及設備，委託民間經營管理。</w:t>
      </w:r>
    </w:p>
    <w:p w:rsidR="006635AA" w:rsidRPr="006635AA" w:rsidRDefault="006635AA" w:rsidP="006635AA">
      <w:pPr>
        <w:pStyle w:val="a3"/>
        <w:numPr>
          <w:ilvl w:val="1"/>
          <w:numId w:val="9"/>
        </w:numPr>
        <w:autoSpaceDE w:val="0"/>
        <w:autoSpaceDN w:val="0"/>
        <w:adjustRightInd w:val="0"/>
        <w:ind w:leftChars="136" w:left="1177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635AA">
        <w:rPr>
          <w:rFonts w:ascii="Times New Roman" w:eastAsia="標楷體" w:hAnsi="Times New Roman" w:cs="Times New Roman"/>
          <w:kern w:val="0"/>
          <w:szCs w:val="24"/>
        </w:rPr>
        <w:t>部分業務委外：</w:t>
      </w:r>
    </w:p>
    <w:p w:rsidR="006635AA" w:rsidRPr="006635AA" w:rsidRDefault="006635AA" w:rsidP="006635AA">
      <w:pPr>
        <w:pStyle w:val="a3"/>
        <w:numPr>
          <w:ilvl w:val="2"/>
          <w:numId w:val="10"/>
        </w:numPr>
        <w:autoSpaceDE w:val="0"/>
        <w:autoSpaceDN w:val="0"/>
        <w:adjustRightInd w:val="0"/>
        <w:ind w:leftChars="314" w:left="1201" w:hanging="4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635AA">
        <w:rPr>
          <w:rFonts w:ascii="Times New Roman" w:eastAsia="標楷體" w:hAnsi="Times New Roman" w:cs="Times New Roman"/>
          <w:kern w:val="0"/>
          <w:szCs w:val="24"/>
        </w:rPr>
        <w:t>內部事務或服務：將機關（構）、學校內部事務或對外提供服務之業務，委託民間機構辦理，如資訊、保全、清潔、環境綠化、事務機器設備、公務車輛、文書繕打等業務。</w:t>
      </w:r>
    </w:p>
    <w:p w:rsidR="006635AA" w:rsidRPr="006635AA" w:rsidRDefault="006635AA" w:rsidP="006635AA">
      <w:pPr>
        <w:pStyle w:val="a3"/>
        <w:numPr>
          <w:ilvl w:val="2"/>
          <w:numId w:val="10"/>
        </w:numPr>
        <w:autoSpaceDE w:val="0"/>
        <w:autoSpaceDN w:val="0"/>
        <w:adjustRightInd w:val="0"/>
        <w:ind w:leftChars="314" w:left="1201" w:hanging="44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635AA">
        <w:rPr>
          <w:rFonts w:ascii="Times New Roman" w:eastAsia="標楷體" w:hAnsi="Times New Roman" w:cs="Times New Roman"/>
          <w:kern w:val="0"/>
          <w:szCs w:val="24"/>
        </w:rPr>
        <w:t>輔助行政：各機關（構）、學校得視需要將業務委託私人，使其居輔佐地位，從旁協助執行部分管制性業務。</w:t>
      </w:r>
    </w:p>
    <w:p w:rsidR="006635AA" w:rsidRPr="006635AA" w:rsidRDefault="006635AA" w:rsidP="006635AA">
      <w:pPr>
        <w:pStyle w:val="a3"/>
        <w:snapToGrid w:val="0"/>
        <w:spacing w:line="240" w:lineRule="exact"/>
        <w:ind w:leftChars="0" w:left="360"/>
        <w:rPr>
          <w:rFonts w:ascii="Times New Roman" w:eastAsia="標楷體" w:hAnsi="Times New Roman" w:cs="Times New Roman"/>
          <w:b/>
        </w:rPr>
      </w:pPr>
    </w:p>
    <w:sectPr w:rsidR="006635AA" w:rsidRPr="006635AA" w:rsidSect="007B5E22">
      <w:foot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34" w:rsidRDefault="00D05C34" w:rsidP="00697094">
      <w:r>
        <w:separator/>
      </w:r>
    </w:p>
  </w:endnote>
  <w:endnote w:type="continuationSeparator" w:id="0">
    <w:p w:rsidR="00D05C34" w:rsidRDefault="00D05C34" w:rsidP="0069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385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B5E22" w:rsidRPr="007B5E22" w:rsidRDefault="007B5E2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B5E22">
          <w:rPr>
            <w:rFonts w:ascii="Times New Roman" w:hAnsi="Times New Roman" w:cs="Times New Roman"/>
            <w:sz w:val="24"/>
          </w:rPr>
          <w:fldChar w:fldCharType="begin"/>
        </w:r>
        <w:r w:rsidRPr="007B5E22">
          <w:rPr>
            <w:rFonts w:ascii="Times New Roman" w:hAnsi="Times New Roman" w:cs="Times New Roman"/>
            <w:sz w:val="24"/>
          </w:rPr>
          <w:instrText>PAGE   \* MERGEFORMAT</w:instrText>
        </w:r>
        <w:r w:rsidRPr="007B5E22">
          <w:rPr>
            <w:rFonts w:ascii="Times New Roman" w:hAnsi="Times New Roman" w:cs="Times New Roman"/>
            <w:sz w:val="24"/>
          </w:rPr>
          <w:fldChar w:fldCharType="separate"/>
        </w:r>
        <w:r w:rsidR="00D05C34" w:rsidRPr="00D05C34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7B5E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B5E22" w:rsidRDefault="007B5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34" w:rsidRDefault="00D05C34" w:rsidP="00697094">
      <w:r>
        <w:separator/>
      </w:r>
    </w:p>
  </w:footnote>
  <w:footnote w:type="continuationSeparator" w:id="0">
    <w:p w:rsidR="00D05C34" w:rsidRDefault="00D05C34" w:rsidP="0069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560"/>
    <w:multiLevelType w:val="hybridMultilevel"/>
    <w:tmpl w:val="28B03A82"/>
    <w:lvl w:ilvl="0" w:tplc="3D707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E5AA6A8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20D25"/>
    <w:multiLevelType w:val="hybridMultilevel"/>
    <w:tmpl w:val="E23CD2DA"/>
    <w:lvl w:ilvl="0" w:tplc="8E5AA6A8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F3F03"/>
    <w:multiLevelType w:val="hybridMultilevel"/>
    <w:tmpl w:val="18A00F66"/>
    <w:lvl w:ilvl="0" w:tplc="3D707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E5AA6A8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7366A0EC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239AD"/>
    <w:multiLevelType w:val="hybridMultilevel"/>
    <w:tmpl w:val="8A08FEFE"/>
    <w:lvl w:ilvl="0" w:tplc="D646F2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4B0FF6"/>
    <w:multiLevelType w:val="hybridMultilevel"/>
    <w:tmpl w:val="F490F5FC"/>
    <w:lvl w:ilvl="0" w:tplc="3D707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E5AA6A8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447126"/>
    <w:multiLevelType w:val="hybridMultilevel"/>
    <w:tmpl w:val="188AE358"/>
    <w:lvl w:ilvl="0" w:tplc="3D707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0094D"/>
    <w:multiLevelType w:val="hybridMultilevel"/>
    <w:tmpl w:val="E82C7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45159"/>
    <w:multiLevelType w:val="hybridMultilevel"/>
    <w:tmpl w:val="F1280F48"/>
    <w:lvl w:ilvl="0" w:tplc="3D707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E5AA6A8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336AC1"/>
    <w:multiLevelType w:val="hybridMultilevel"/>
    <w:tmpl w:val="56A6890E"/>
    <w:lvl w:ilvl="0" w:tplc="3D707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E5AA6A8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CF263F"/>
    <w:multiLevelType w:val="hybridMultilevel"/>
    <w:tmpl w:val="5B7617F6"/>
    <w:lvl w:ilvl="0" w:tplc="BC8030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6E7B3E"/>
    <w:multiLevelType w:val="hybridMultilevel"/>
    <w:tmpl w:val="39E2E1F4"/>
    <w:lvl w:ilvl="0" w:tplc="2AF2F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9004A3E"/>
    <w:multiLevelType w:val="hybridMultilevel"/>
    <w:tmpl w:val="DF00B37E"/>
    <w:lvl w:ilvl="0" w:tplc="3D707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E5AA6A8">
      <w:start w:val="1"/>
      <w:numFmt w:val="ideographDigital"/>
      <w:lvlText w:val="（%2）"/>
      <w:lvlJc w:val="left"/>
      <w:pPr>
        <w:ind w:left="960" w:hanging="480"/>
      </w:pPr>
      <w:rPr>
        <w:rFonts w:hint="eastAsia"/>
      </w:rPr>
    </w:lvl>
    <w:lvl w:ilvl="2" w:tplc="7366A0EC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9458F8"/>
    <w:multiLevelType w:val="hybridMultilevel"/>
    <w:tmpl w:val="59D6E542"/>
    <w:lvl w:ilvl="0" w:tplc="9F54DB94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E270319"/>
    <w:multiLevelType w:val="hybridMultilevel"/>
    <w:tmpl w:val="7152CA2E"/>
    <w:lvl w:ilvl="0" w:tplc="70DE5A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6E"/>
    <w:rsid w:val="00002BB3"/>
    <w:rsid w:val="000D4BAB"/>
    <w:rsid w:val="001702C7"/>
    <w:rsid w:val="001B3873"/>
    <w:rsid w:val="001B73ED"/>
    <w:rsid w:val="001E4203"/>
    <w:rsid w:val="002B1AE9"/>
    <w:rsid w:val="0034612A"/>
    <w:rsid w:val="004A702F"/>
    <w:rsid w:val="004D03FD"/>
    <w:rsid w:val="00521EA4"/>
    <w:rsid w:val="00592B05"/>
    <w:rsid w:val="00602984"/>
    <w:rsid w:val="00621F0D"/>
    <w:rsid w:val="006635AA"/>
    <w:rsid w:val="00697094"/>
    <w:rsid w:val="006B6EBB"/>
    <w:rsid w:val="00774F54"/>
    <w:rsid w:val="00784A84"/>
    <w:rsid w:val="007B5E22"/>
    <w:rsid w:val="007F28A0"/>
    <w:rsid w:val="007F7579"/>
    <w:rsid w:val="0080706E"/>
    <w:rsid w:val="008B72C9"/>
    <w:rsid w:val="00907951"/>
    <w:rsid w:val="00937F78"/>
    <w:rsid w:val="009A7D71"/>
    <w:rsid w:val="009D3FA7"/>
    <w:rsid w:val="00A934EE"/>
    <w:rsid w:val="00B44C3D"/>
    <w:rsid w:val="00B47D14"/>
    <w:rsid w:val="00B66EDF"/>
    <w:rsid w:val="00BC1033"/>
    <w:rsid w:val="00CC58C9"/>
    <w:rsid w:val="00CE26B4"/>
    <w:rsid w:val="00CE5012"/>
    <w:rsid w:val="00CE7007"/>
    <w:rsid w:val="00D05C34"/>
    <w:rsid w:val="00DA33EB"/>
    <w:rsid w:val="00DD21EC"/>
    <w:rsid w:val="00E11B11"/>
    <w:rsid w:val="00EA2530"/>
    <w:rsid w:val="00EF4CA3"/>
    <w:rsid w:val="00FA0EC9"/>
    <w:rsid w:val="00FA7DA2"/>
    <w:rsid w:val="00FC797D"/>
    <w:rsid w:val="00FD7899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D7761-7DA2-4A17-97EA-B607FC18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0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劉又寧</dc:creator>
  <cp:keywords/>
  <dc:description/>
  <cp:lastModifiedBy>Windows 使用者</cp:lastModifiedBy>
  <cp:revision>2</cp:revision>
  <dcterms:created xsi:type="dcterms:W3CDTF">2018-08-30T05:19:00Z</dcterms:created>
  <dcterms:modified xsi:type="dcterms:W3CDTF">2018-08-30T05:19:00Z</dcterms:modified>
</cp:coreProperties>
</file>